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lineRule="auto" w:line="268" w:before="240" w:after="283"/>
        <w:jc w:val="left"/>
        <w:rPr>
          <w:rFonts w:ascii="Inter;system-ui;sans-serif" w:hAnsi="Inter;system-ui;sans-serif"/>
          <w:b/>
          <w:i w:val="false"/>
          <w:caps w:val="false"/>
          <w:smallCaps w:val="false"/>
          <w:color w:val="164A7B"/>
          <w:sz w:val="48"/>
        </w:rPr>
      </w:pPr>
      <w:r>
        <w:rPr>
          <w:rFonts w:ascii="Inter;system-ui;sans-serif" w:hAnsi="Inter;system-ui;sans-serif"/>
          <w:b/>
          <w:i w:val="false"/>
          <w:caps w:val="false"/>
          <w:smallCaps w:val="false"/>
          <w:color w:val="164A7B"/>
          <w:sz w:val="48"/>
        </w:rPr>
        <w:t>Næste skridt – sag 2026-0034</w:t>
      </w:r>
    </w:p>
    <w:p>
      <w:pPr>
        <w:pStyle w:val="Heading2"/>
        <w:bidi w:val="0"/>
        <w:spacing w:lineRule="auto" w:line="300"/>
        <w:jc w:val="left"/>
        <w:rPr>
          <w:rFonts w:ascii="Inter;system-ui;sans-serif" w:hAnsi="Inter;system-ui;sans-serif"/>
          <w:b/>
          <w:i w:val="false"/>
          <w:caps w:val="false"/>
          <w:smallCaps w:val="false"/>
          <w:color w:val="164A7B"/>
          <w:sz w:val="33"/>
        </w:rPr>
      </w:pPr>
      <w:r>
        <w:rPr>
          <w:rFonts w:ascii="Inter;system-ui;sans-serif" w:hAnsi="Inter;system-ui;sans-serif"/>
          <w:b/>
          <w:i w:val="false"/>
          <w:caps w:val="false"/>
          <w:smallCaps w:val="false"/>
          <w:color w:val="164A7B"/>
          <w:sz w:val="33"/>
        </w:rPr>
        <w:t>Sagens status</w:t>
      </w:r>
    </w:p>
    <w:p>
      <w:pPr>
        <w:pStyle w:val="TextBody"/>
        <w:bidi w:val="0"/>
        <w:spacing w:lineRule="auto" w:line="384"/>
        <w:jc w:val="left"/>
        <w:rPr/>
      </w:pPr>
      <w:r>
        <w:rPr>
          <w:rFonts w:ascii="Inter;system-ui;sans-serif" w:hAnsi="Inter;system-ui;sans-serif"/>
          <w:color w:val="14202B"/>
          <w:sz w:val="22"/>
        </w:rPr>
        <w:t xml:space="preserve">Sagen vedrører Café Havnen ApS’ ansøgning om tilladelse til udendørsservering på Klostergade 28, 8000 Aarhus C. Der er ansøgt om et serveringsareal på 28 m² i perioden </w:t>
      </w:r>
      <w:r>
        <w:rPr>
          <w:rStyle w:val="StrongEmphasis"/>
          <w:rFonts w:ascii="Inter;system-ui;sans-serif" w:hAnsi="Inter;system-ui;sans-serif"/>
          <w:color w:val="14202B"/>
          <w:sz w:val="22"/>
        </w:rPr>
        <w:t>21. september 2026 til 6. marts 2027</w:t>
      </w:r>
      <w:r>
        <w:rPr>
          <w:rFonts w:ascii="Inter;system-ui;sans-serif" w:hAnsi="Inter;system-ui;sans-serif"/>
          <w:color w:val="14202B"/>
          <w:sz w:val="22"/>
        </w:rPr>
        <w:t>. Arealet skal indrettes med borde, stole og parasoller, og der er oplyst, at der serveres alkohol.</w:t>
      </w:r>
    </w:p>
    <w:p>
      <w:pPr>
        <w:pStyle w:val="TextBody"/>
        <w:bidi w:val="0"/>
        <w:spacing w:lineRule="auto" w:line="384"/>
        <w:jc w:val="left"/>
        <w:rPr>
          <w:rFonts w:ascii="Inter;system-ui;sans-serif" w:hAnsi="Inter;system-ui;sans-serif"/>
          <w:color w:val="14202B"/>
          <w:sz w:val="22"/>
        </w:rPr>
      </w:pPr>
      <w:r>
        <w:rPr>
          <w:rFonts w:ascii="Inter;system-ui;sans-serif" w:hAnsi="Inter;system-ui;sans-serif"/>
          <w:color w:val="14202B"/>
          <w:sz w:val="22"/>
        </w:rPr>
        <w:t>Sagen er modtaget og registreret under KLE-emnet 05.14.10 – udeservering på offentligt vejareal. De modtagne bilag er alkoholbevilling, lejekontrakt og tegning af serveringsarealet. Bilagstjekket har ikke vist kritiske mangler.</w:t>
      </w:r>
    </w:p>
    <w:p>
      <w:pPr>
        <w:pStyle w:val="Heading2"/>
        <w:bidi w:val="0"/>
        <w:spacing w:lineRule="auto" w:line="300"/>
        <w:jc w:val="left"/>
        <w:rPr>
          <w:rFonts w:ascii="Inter;system-ui;sans-serif" w:hAnsi="Inter;system-ui;sans-serif"/>
          <w:b/>
          <w:i w:val="false"/>
          <w:caps w:val="false"/>
          <w:smallCaps w:val="false"/>
          <w:color w:val="164A7B"/>
          <w:sz w:val="33"/>
        </w:rPr>
      </w:pPr>
      <w:r>
        <w:rPr>
          <w:rFonts w:ascii="Inter;system-ui;sans-serif" w:hAnsi="Inter;system-ui;sans-serif"/>
          <w:b/>
          <w:i w:val="false"/>
          <w:caps w:val="false"/>
          <w:smallCaps w:val="false"/>
          <w:color w:val="164A7B"/>
          <w:sz w:val="33"/>
        </w:rPr>
        <w:t>Afklaringspunkt</w:t>
      </w:r>
    </w:p>
    <w:p>
      <w:pPr>
        <w:pStyle w:val="TextBody"/>
        <w:bidi w:val="0"/>
        <w:spacing w:lineRule="auto" w:line="384"/>
        <w:jc w:val="left"/>
        <w:rPr/>
      </w:pPr>
      <w:r>
        <w:rPr>
          <w:rFonts w:ascii="Inter;system-ui;sans-serif" w:hAnsi="Inter;system-ui;sans-serif"/>
          <w:color w:val="14202B"/>
          <w:sz w:val="22"/>
        </w:rPr>
        <w:t xml:space="preserve">Den fremsendte alkoholbevilling angiver ikke en slutdato og indeholder heller ikke en tydelig angivelse af, at bevillingen er tidsubegrænset. Det skal derfor afklares, om bevillingen er gyldig i hele den ansøgte periode, herunder frem til </w:t>
      </w:r>
      <w:r>
        <w:rPr>
          <w:rStyle w:val="StrongEmphasis"/>
          <w:rFonts w:ascii="Inter;system-ui;sans-serif" w:hAnsi="Inter;system-ui;sans-serif"/>
          <w:color w:val="14202B"/>
          <w:sz w:val="22"/>
        </w:rPr>
        <w:t>6. marts 2027</w:t>
      </w:r>
      <w:r>
        <w:rPr>
          <w:rFonts w:ascii="Inter;system-ui;sans-serif" w:hAnsi="Inter;system-ui;sans-serif"/>
          <w:color w:val="14202B"/>
          <w:sz w:val="22"/>
        </w:rPr>
        <w:t>.</w:t>
      </w:r>
    </w:p>
    <w:p>
      <w:pPr>
        <w:pStyle w:val="Heading2"/>
        <w:bidi w:val="0"/>
        <w:spacing w:lineRule="auto" w:line="300"/>
        <w:jc w:val="left"/>
        <w:rPr>
          <w:rFonts w:ascii="Inter;system-ui;sans-serif" w:hAnsi="Inter;system-ui;sans-serif"/>
          <w:b/>
          <w:i w:val="false"/>
          <w:caps w:val="false"/>
          <w:smallCaps w:val="false"/>
          <w:color w:val="164A7B"/>
          <w:sz w:val="33"/>
        </w:rPr>
      </w:pPr>
      <w:r>
        <w:rPr>
          <w:rFonts w:ascii="Inter;system-ui;sans-serif" w:hAnsi="Inter;system-ui;sans-serif"/>
          <w:b/>
          <w:i w:val="false"/>
          <w:caps w:val="false"/>
          <w:smallCaps w:val="false"/>
          <w:color w:val="164A7B"/>
          <w:sz w:val="33"/>
        </w:rPr>
        <w:t>Anbefalede næste skridt</w:t>
      </w:r>
    </w:p>
    <w:p>
      <w:pPr>
        <w:pStyle w:val="TextBody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lineRule="auto" w:line="384" w:before="0" w:after="0"/>
        <w:ind w:left="709" w:hanging="283"/>
        <w:jc w:val="left"/>
        <w:rPr/>
      </w:pPr>
      <w:r>
        <w:rPr>
          <w:rStyle w:val="StrongEmphasis"/>
          <w:rFonts w:ascii="Inter;system-ui;sans-serif" w:hAnsi="Inter;system-ui;sans-serif"/>
          <w:color w:val="14202B"/>
          <w:sz w:val="22"/>
        </w:rPr>
        <w:t>Tildel sagen en sagsbehandler</w:t>
      </w:r>
      <w:r>
        <w:rPr>
          <w:rFonts w:ascii="Inter;system-ui;sans-serif" w:hAnsi="Inter;system-ui;sans-serif"/>
          <w:color w:val="14202B"/>
          <w:sz w:val="22"/>
        </w:rPr>
        <w:t xml:space="preserve"> i Teknik &amp; Miljø. </w:t>
      </w:r>
    </w:p>
    <w:p>
      <w:pPr>
        <w:pStyle w:val="TextBody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lineRule="auto" w:line="384" w:before="0" w:after="0"/>
        <w:ind w:left="709" w:hanging="283"/>
        <w:jc w:val="left"/>
        <w:rPr/>
      </w:pPr>
      <w:r>
        <w:rPr>
          <w:rStyle w:val="StrongEmphasis"/>
          <w:rFonts w:ascii="Inter;system-ui;sans-serif" w:hAnsi="Inter;system-ui;sans-serif"/>
          <w:color w:val="14202B"/>
          <w:sz w:val="22"/>
        </w:rPr>
        <w:t>Kontakt Café Havnen ApS</w:t>
      </w:r>
      <w:r>
        <w:rPr>
          <w:rFonts w:ascii="Inter;system-ui;sans-serif" w:hAnsi="Inter;system-ui;sans-serif"/>
          <w:color w:val="14202B"/>
          <w:sz w:val="22"/>
        </w:rPr>
        <w:t xml:space="preserve"> og bed virksomheden dokumentere alkoholbevillingens gyldighedsperiode. Hvis bevillingen er tidsubegrænset, bør virksomheden fremsende dokumentation eller en bekræftelse fra den relevante bevillingsmyndighed. </w:t>
      </w:r>
    </w:p>
    <w:p>
      <w:pPr>
        <w:pStyle w:val="TextBody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lineRule="auto" w:line="384" w:before="0" w:after="0"/>
        <w:ind w:left="709" w:hanging="283"/>
        <w:jc w:val="left"/>
        <w:rPr/>
      </w:pPr>
      <w:r>
        <w:rPr>
          <w:rStyle w:val="StrongEmphasis"/>
          <w:rFonts w:ascii="Inter;system-ui;sans-serif" w:hAnsi="Inter;system-ui;sans-serif"/>
          <w:color w:val="14202B"/>
          <w:sz w:val="22"/>
        </w:rPr>
        <w:t>Kontrollér serveringsarealet</w:t>
      </w:r>
      <w:r>
        <w:rPr>
          <w:rFonts w:ascii="Inter;system-ui;sans-serif" w:hAnsi="Inter;system-ui;sans-serif"/>
          <w:color w:val="14202B"/>
          <w:sz w:val="22"/>
        </w:rPr>
        <w:t xml:space="preserve"> mod den indsendte tegning, herunder arealets placering, adgangsforhold, fremkommelighed og eventuelle hensyn til vejareal eller naboejendomme. </w:t>
      </w:r>
    </w:p>
    <w:p>
      <w:pPr>
        <w:pStyle w:val="TextBody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lineRule="auto" w:line="384" w:before="0" w:after="0"/>
        <w:ind w:left="709" w:hanging="283"/>
        <w:jc w:val="left"/>
        <w:rPr/>
      </w:pPr>
      <w:r>
        <w:rPr>
          <w:rStyle w:val="StrongEmphasis"/>
          <w:rFonts w:ascii="Inter;system-ui;sans-serif" w:hAnsi="Inter;system-ui;sans-serif"/>
          <w:color w:val="14202B"/>
          <w:sz w:val="22"/>
        </w:rPr>
        <w:t>Vurder ansøgningen efter de gældende kommunale regler og eventuelle vilkår</w:t>
      </w:r>
      <w:r>
        <w:rPr>
          <w:rFonts w:ascii="Inter;system-ui;sans-serif" w:hAnsi="Inter;system-ui;sans-serif"/>
          <w:color w:val="14202B"/>
          <w:sz w:val="22"/>
        </w:rPr>
        <w:t xml:space="preserve"> for udendørsservering, herunder krav til møblering, parasoller, åbningstider, renholdelse og fri passage. </w:t>
      </w:r>
    </w:p>
    <w:p>
      <w:pPr>
        <w:pStyle w:val="TextBody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lineRule="auto" w:line="384" w:before="0" w:after="0"/>
        <w:ind w:left="709" w:hanging="283"/>
        <w:jc w:val="left"/>
        <w:rPr/>
      </w:pPr>
      <w:r>
        <w:rPr>
          <w:rStyle w:val="StrongEmphasis"/>
          <w:rFonts w:ascii="Inter;system-ui;sans-serif" w:hAnsi="Inter;system-ui;sans-serif"/>
          <w:color w:val="14202B"/>
          <w:sz w:val="22"/>
        </w:rPr>
        <w:t>Afvent og journalisér den supplerende dokumentation</w:t>
      </w:r>
      <w:r>
        <w:rPr>
          <w:rFonts w:ascii="Inter;system-ui;sans-serif" w:hAnsi="Inter;system-ui;sans-serif"/>
          <w:color w:val="14202B"/>
          <w:sz w:val="22"/>
        </w:rPr>
        <w:t xml:space="preserve"> om alkoholbevillingens gyldighed. </w:t>
      </w:r>
    </w:p>
    <w:p>
      <w:pPr>
        <w:pStyle w:val="TextBody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lineRule="auto" w:line="384"/>
        <w:ind w:left="709" w:hanging="283"/>
        <w:jc w:val="left"/>
        <w:rPr/>
      </w:pPr>
      <w:r>
        <w:rPr>
          <w:rStyle w:val="StrongEmphasis"/>
          <w:rFonts w:ascii="Inter;system-ui;sans-serif" w:hAnsi="Inter;system-ui;sans-serif"/>
          <w:color w:val="14202B"/>
          <w:sz w:val="22"/>
        </w:rPr>
        <w:t>Træf afgørelse</w:t>
      </w:r>
      <w:r>
        <w:rPr>
          <w:rFonts w:ascii="Inter;system-ui;sans-serif" w:hAnsi="Inter;system-ui;sans-serif"/>
          <w:color w:val="14202B"/>
          <w:sz w:val="22"/>
        </w:rPr>
        <w:t xml:space="preserve">, når afklaringen er modtaget, og eventuelle øvrige forhold er vurderet. En eventuel tilladelse bør indeholde tydelige vilkår og angive den præcise tilladelsesperiode. </w:t>
      </w:r>
    </w:p>
    <w:p>
      <w:pPr>
        <w:pStyle w:val="Heading2"/>
        <w:bidi w:val="0"/>
        <w:spacing w:lineRule="auto" w:line="300"/>
        <w:jc w:val="left"/>
        <w:rPr>
          <w:rFonts w:ascii="Inter;system-ui;sans-serif" w:hAnsi="Inter;system-ui;sans-serif"/>
          <w:b/>
          <w:i w:val="false"/>
          <w:caps w:val="false"/>
          <w:smallCaps w:val="false"/>
          <w:color w:val="164A7B"/>
          <w:sz w:val="33"/>
        </w:rPr>
      </w:pPr>
      <w:r>
        <w:rPr>
          <w:rFonts w:ascii="Inter;system-ui;sans-serif" w:hAnsi="Inter;system-ui;sans-serif"/>
          <w:b/>
          <w:i w:val="false"/>
          <w:caps w:val="false"/>
          <w:smallCaps w:val="false"/>
          <w:color w:val="164A7B"/>
          <w:sz w:val="33"/>
        </w:rPr>
        <w:t>Foreslået sagsstatus</w:t>
      </w:r>
    </w:p>
    <w:p>
      <w:pPr>
        <w:pStyle w:val="TextBody"/>
        <w:bidi w:val="0"/>
        <w:spacing w:lineRule="auto" w:line="384"/>
        <w:jc w:val="left"/>
        <w:rPr/>
      </w:pPr>
      <w:r>
        <w:rPr>
          <w:rFonts w:ascii="Inter;system-ui;sans-serif" w:hAnsi="Inter;system-ui;sans-serif"/>
          <w:color w:val="14202B"/>
          <w:sz w:val="22"/>
        </w:rPr>
        <w:t xml:space="preserve">Sagen sættes til </w:t>
      </w:r>
      <w:r>
        <w:rPr>
          <w:rStyle w:val="StrongEmphasis"/>
          <w:rFonts w:ascii="Inter;system-ui;sans-serif" w:hAnsi="Inter;system-ui;sans-serif"/>
          <w:color w:val="14202B"/>
          <w:sz w:val="22"/>
        </w:rPr>
        <w:t>Afventer supplerende oplysninger</w:t>
      </w:r>
      <w:r>
        <w:rPr>
          <w:rFonts w:ascii="Inter;system-ui;sans-serif" w:hAnsi="Inter;system-ui;sans-serif"/>
          <w:color w:val="14202B"/>
          <w:sz w:val="22"/>
        </w:rPr>
        <w:t>, fordi alkoholbevillingens gyldighed i hele den ansøgte periode endnu ikke er dokumenteret.</w:t>
      </w:r>
    </w:p>
    <w:p>
      <w:pPr>
        <w:pStyle w:val="Heading2"/>
        <w:bidi w:val="0"/>
        <w:spacing w:lineRule="auto" w:line="300"/>
        <w:jc w:val="left"/>
        <w:rPr>
          <w:rFonts w:ascii="Inter;system-ui;sans-serif" w:hAnsi="Inter;system-ui;sans-serif"/>
          <w:b/>
          <w:i w:val="false"/>
          <w:caps w:val="false"/>
          <w:smallCaps w:val="false"/>
          <w:color w:val="164A7B"/>
          <w:sz w:val="33"/>
        </w:rPr>
      </w:pPr>
      <w:r>
        <w:rPr>
          <w:rFonts w:ascii="Inter;system-ui;sans-serif" w:hAnsi="Inter;system-ui;sans-serif"/>
          <w:b/>
          <w:i w:val="false"/>
          <w:caps w:val="false"/>
          <w:smallCaps w:val="false"/>
          <w:color w:val="164A7B"/>
          <w:sz w:val="33"/>
        </w:rPr>
        <w:t>Dokumentation og journalisering</w:t>
      </w:r>
    </w:p>
    <w:p>
      <w:pPr>
        <w:pStyle w:val="TextBody"/>
        <w:bidi w:val="0"/>
        <w:spacing w:lineRule="auto" w:line="384" w:before="0" w:after="283"/>
        <w:jc w:val="left"/>
        <w:rPr>
          <w:rFonts w:ascii="Inter;system-ui;sans-serif" w:hAnsi="Inter;system-ui;sans-serif"/>
          <w:color w:val="14202B"/>
          <w:sz w:val="22"/>
        </w:rPr>
      </w:pPr>
      <w:r>
        <w:rPr>
          <w:rFonts w:ascii="Inter;system-ui;sans-serif" w:hAnsi="Inter;system-ui;sans-serif"/>
          <w:color w:val="14202B"/>
          <w:sz w:val="22"/>
        </w:rPr>
        <w:t>Den udgående anmodning om supplerende oplysninger samt virksomhedens eventuelle svar bør journaliseres på sag 2026-0034. Når dokumentationen er modtaget, bør sagsbehandleren opdatere sagen med resultatet af kontrollen og tage stilling til, om ansøgningen kan afgøres på det foreliggende grundlag.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</w:font>
  <w:font w:name="Liberation Sans Unicode MS"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Inter">
    <w:altName w:val="system-ui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DejaVu Serif" w:hAnsi="DejaVu Serif" w:eastAsia="DejaVu Sans" w:cs="DejaVu Sans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TextBody"/>
    <w:qFormat/>
    <w:pPr/>
    <w:rPr>
      <w:rFonts w:ascii="Liberation Sans Unicode MS" w:hAnsi="Liberation Sans Unicode MS"/>
      <w:b/>
      <w:bCs/>
      <w:sz w:val="48"/>
      <w:szCs w:val="44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DejaVu Serif" w:hAnsi="DejaVu Serif" w:eastAsia="DejaVu Sans" w:cs="DejaVu Sans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InternetLink">
    <w:name w:val="Hyperlink"/>
    <w:rPr>
      <w:color w:val="000080"/>
      <w:u w:val="single"/>
    </w:rPr>
  </w:style>
  <w:style w:type="character" w:styleId="StrongEmphasis">
    <w:name w:val="Strong"/>
    <w:qFormat/>
    <w:rPr>
      <w:b/>
      <w:bCs/>
    </w:rPr>
  </w:style>
  <w:style w:type="character" w:styleId="NumberingSymbols">
    <w:name w:val="Numbering Symbols"/>
    <w:qFormat/>
    <w:rPr/>
  </w:style>
  <w:style w:type="paragraph" w:styleId="HorizontalLine">
    <w:name w:val="Horizontal Line"/>
    <w:basedOn w:val="Normal"/>
    <w:next w:val="TextBody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Sender">
    <w:name w:val="Envelope Return"/>
    <w:basedOn w:val="Normal"/>
    <w:pPr/>
    <w:rPr>
      <w:i/>
    </w:rPr>
  </w:style>
  <w:style w:type="paragraph" w:styleId="TableContents">
    <w:name w:val="Table Contents"/>
    <w:basedOn w:val="TextBody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">
    <w:name w:val="List"/>
    <w:basedOn w:val="TextBody"/>
    <w:pPr/>
    <w:rPr/>
  </w:style>
  <w:style w:type="paragraph" w:styleId="TextBody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TextBody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